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t xml:space="preserve"/>
      </w:r>
    </w:p>
    <w:p>
      <w:pPr>
        <w:jc w:val="center"/>
      </w:pPr>
      <w:r>
        <w:rPr>
          <w:rFonts w:ascii="Arial" w:cs="Arial" w:eastAsia="Arial" w:hAnsi="Arial"/>
          <w:b/>
          <w:bCs/>
          <w:color w:val="1B3A5C"/>
          <w:sz w:val="52"/>
          <w:szCs w:val="52"/>
        </w:rPr>
        <w:t xml:space="preserve">NEEDS ANALYSIS &amp;</w:t>
      </w:r>
    </w:p>
    <w:p>
      <w:pPr>
        <w:spacing w:after="0"/>
        <w:jc w:val="center"/>
      </w:pPr>
      <w:r>
        <w:rPr>
          <w:rFonts w:ascii="Arial" w:cs="Arial" w:eastAsia="Arial" w:hAnsi="Arial"/>
          <w:b/>
          <w:bCs/>
          <w:color w:val="2E75B6"/>
          <w:sz w:val="52"/>
          <w:szCs w:val="52"/>
        </w:rPr>
        <w:t xml:space="preserve">EVALUATION PLAN</w:t>
      </w:r>
    </w:p>
    <w:p>
      <w:pPr>
        <w:spacing w:after="200"/>
      </w:pPr>
      <w:r>
        <w:t xml:space="preserve"/>
      </w:r>
    </w:p>
    <w:p>
      <w:pPr>
        <w:spacing w:after="80"/>
        <w:jc w:val="center"/>
      </w:pPr>
      <w:r>
        <w:rPr>
          <w:rFonts w:ascii="Arial" w:cs="Arial" w:eastAsia="Arial" w:hAnsi="Arial"/>
          <w:i/>
          <w:iCs/>
          <w:color w:val="2E75B6"/>
          <w:sz w:val="26"/>
          <w:szCs w:val="26"/>
        </w:rPr>
        <w:t xml:space="preserve">Game Design: Animation &amp; Simulation</w:t>
      </w:r>
    </w:p>
    <w:p>
      <w:pPr>
        <w:spacing w:after="480"/>
        <w:jc w:val="center"/>
      </w:pPr>
      <w:r>
        <w:rPr>
          <w:rFonts w:ascii="Arial" w:cs="Arial" w:eastAsia="Arial" w:hAnsi="Arial"/>
          <w:color w:val="7F7F7F"/>
          <w:sz w:val="22"/>
          <w:szCs w:val="22"/>
        </w:rPr>
        <w:t xml:space="preserve">Georgia Cyber Academy  ·  March 2026</w:t>
      </w:r>
    </w:p>
    <w:tbl>
      <w:tblPr>
        <w:tblW w:type="dxa" w:w="6480"/>
        <w:tblBorders>
          <w:top w:val="single" w:color="auto" w:sz="4"/>
          <w:left w:val="single" w:color="auto" w:sz="4"/>
          <w:bottom w:val="single" w:color="auto" w:sz="4"/>
          <w:right w:val="single" w:color="auto" w:sz="4"/>
          <w:insideH w:val="single" w:color="auto" w:sz="4"/>
          <w:insideV w:val="single" w:color="auto" w:sz="4"/>
        </w:tblBorders>
      </w:tblPr>
      <w:tblGrid>
        <w:gridCol w:w="2200"/>
        <w:gridCol w:w="4280"/>
      </w:tblGrid>
      <w:tr>
        <w:tc>
          <w:tcPr>
            <w:tcW w:type="dxa" w:w="22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Prepared by</w:t>
            </w:r>
          </w:p>
        </w:tc>
        <w:tc>
          <w:tcPr>
            <w:tcW w:type="dxa" w:w="42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Kira Shinn</w:t>
            </w:r>
          </w:p>
        </w:tc>
      </w:tr>
      <w:tr>
        <w:tc>
          <w:tcPr>
            <w:tcW w:type="dxa" w:w="22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Role</w:t>
            </w:r>
          </w:p>
        </w:tc>
        <w:tc>
          <w:tcPr>
            <w:tcW w:type="dxa" w:w="42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CTAE Game Design Instructor</w:t>
            </w:r>
          </w:p>
        </w:tc>
      </w:tr>
      <w:tr>
        <w:tc>
          <w:tcPr>
            <w:tcW w:type="dxa" w:w="22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Audience</w:t>
            </w:r>
          </w:p>
        </w:tc>
        <w:tc>
          <w:tcPr>
            <w:tcW w:type="dxa" w:w="42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Game Design: Animation &amp; Simulation — All Sections</w:t>
            </w:r>
          </w:p>
        </w:tc>
      </w:tr>
      <w:tr>
        <w:tc>
          <w:tcPr>
            <w:tcW w:type="dxa" w:w="22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Version</w:t>
            </w:r>
          </w:p>
        </w:tc>
        <w:tc>
          <w:tcPr>
            <w:tcW w:type="dxa" w:w="42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1.0  ·  March 2026</w:t>
            </w:r>
          </w:p>
        </w:tc>
      </w:tr>
    </w:tbl>
    <w:p>
      <w:pPr>
        <w:spacing w:after="240"/>
      </w:pPr>
      <w:r>
        <w:t xml:space="preserve"/>
      </w:r>
    </w:p>
    <w:p>
      <w:pPr>
        <w:pBdr>
          <w:bottom w:val="single" w:color="2E75B6" w:sz="6"/>
        </w:pBdr>
      </w:pPr>
      <w:r>
        <w:t xml:space="preserve"/>
      </w:r>
    </w:p>
    <w:p>
      <w:pPr>
        <w:spacing w:after="360"/>
      </w:pPr>
      <w:r>
        <w:t xml:space="preserve"/>
      </w:r>
    </w:p>
    <w:p>
      <w:r>
        <w:br w:type="page"/>
      </w:r>
    </w:p>
    <w:p>
      <w:pPr>
        <w:pStyle w:val="Heading1"/>
      </w:pPr>
      <w:r>
        <w:rPr>
          <w:rFonts w:ascii="Arial" w:cs="Arial" w:eastAsia="Arial" w:hAnsi="Arial"/>
          <w:b/>
          <w:bCs/>
          <w:color w:val="1B3A5C"/>
          <w:sz w:val="28"/>
          <w:szCs w:val="28"/>
        </w:rPr>
        <w:t xml:space="preserve">1.  Context &amp; Problem Statement</w:t>
      </w:r>
    </w:p>
    <w:p>
      <w:pPr>
        <w:pBdr>
          <w:bottom w:val="single" w:color="2E75B6" w:sz="4" w:space="1"/>
        </w:pBdr>
        <w:spacing w:before="80" w:after="200"/>
      </w:pPr>
      <w:r>
        <w:t xml:space="preserve"/>
      </w:r>
    </w:p>
    <w:p>
      <w:pPr>
        <w:pStyle w:val="Heading2"/>
      </w:pPr>
      <w:r>
        <w:rPr>
          <w:rFonts w:ascii="Arial" w:cs="Arial" w:eastAsia="Arial" w:hAnsi="Arial"/>
          <w:b/>
          <w:bCs/>
          <w:color w:val="2E75B6"/>
          <w:sz w:val="24"/>
          <w:szCs w:val="24"/>
        </w:rPr>
        <w:t xml:space="preserve">1.1  Background</w:t>
      </w:r>
    </w:p>
    <w:p>
      <w:pPr>
        <w:spacing w:after="120"/>
      </w:pPr>
      <w:r>
        <w:rPr>
          <w:rFonts w:ascii="Arial" w:cs="Arial" w:eastAsia="Arial" w:hAnsi="Arial"/>
          <w:i w:val="false"/>
          <w:iCs w:val="false"/>
          <w:color w:val="333333"/>
          <w:sz w:val="22"/>
          <w:szCs w:val="22"/>
        </w:rPr>
        <w:t xml:space="preserve">Georgia Cyber Academy (GCA) is a fully virtual, tuition-free public charter school serving K–12 students across Georgia. The student population is majority-minority, with a significant proportion of learners who have chosen the virtual environment due to geographic, health, or scheduling needs. Game Design: Animation &amp; Simulation is a CTAE elective offered at the high school level. The course curriculum was developed entirely by the instructor and covers the full game production pipeline — from concept and design documentation through Unity development, playtesting, and iteration. Instruction is delivered synchronously via Zoom across multiple sections, with all coursework submitted through the school's LMS.</w:t>
      </w:r>
    </w:p>
    <w:p>
      <w:pPr>
        <w:spacing w:after="160"/>
      </w:pPr>
      <w:r>
        <w:t xml:space="preserve"/>
      </w:r>
    </w:p>
    <w:p>
      <w:pPr>
        <w:pStyle w:val="Heading2"/>
      </w:pPr>
      <w:r>
        <w:rPr>
          <w:rFonts w:ascii="Arial" w:cs="Arial" w:eastAsia="Arial" w:hAnsi="Arial"/>
          <w:b/>
          <w:bCs/>
          <w:color w:val="2E75B6"/>
          <w:sz w:val="24"/>
          <w:szCs w:val="24"/>
        </w:rPr>
        <w:t xml:space="preserve">1.2  Identified Problem or Gap</w:t>
      </w:r>
    </w:p>
    <w:p>
      <w:pPr>
        <w:spacing w:after="120"/>
      </w:pPr>
      <w:r>
        <w:rPr>
          <w:rFonts w:ascii="Arial" w:cs="Arial" w:eastAsia="Arial" w:hAnsi="Arial"/>
          <w:i w:val="false"/>
          <w:iCs w:val="false"/>
          <w:color w:val="333333"/>
          <w:sz w:val="22"/>
          <w:szCs w:val="22"/>
        </w:rPr>
        <w:t xml:space="preserve">Students consistently struggle to understand and apply the sequential stages of game production, and in particular to make intentional decisions about project scope. This manifests in two related patterns: (1) students begin Unity development before completing foundational design work, leading to unstructured projects that are difficult to complete, and (2) students attempt to build games far beyond what is achievable in the allotted time, resulting in incomplete or low-quality final submissions.</w:t>
      </w:r>
    </w:p>
    <w:p>
      <w:pPr>
        <w:spacing w:after="80"/>
      </w:pPr>
      <w:r>
        <w:t xml:space="preserve"/>
      </w:r>
    </w:p>
    <w:p>
      <w:pPr>
        <w:spacing w:after="120"/>
      </w:pPr>
      <w:r>
        <w:rPr>
          <w:rFonts w:ascii="Arial" w:cs="Arial" w:eastAsia="Arial" w:hAnsi="Arial"/>
          <w:i w:val="false"/>
          <w:iCs w:val="false"/>
          <w:color w:val="333333"/>
          <w:sz w:val="22"/>
          <w:szCs w:val="22"/>
        </w:rPr>
        <w:t xml:space="preserve">This gap was formally identified through Interim Assessment #1 (IA1) data, which revealed that a substantial portion of students could not correctly sequence the stages of game development or identify examples of scope creep. Students demonstrated familiarity with individual Unity tools but lacked the conceptual framework for how those tools fit within a structured production process.</w:t>
      </w:r>
    </w:p>
    <w:p>
      <w:pPr>
        <w:spacing w:after="160"/>
      </w:pPr>
      <w:r>
        <w:t xml:space="preserve"/>
      </w:r>
    </w:p>
    <w:p>
      <w:pPr>
        <w:pStyle w:val="Heading2"/>
      </w:pPr>
      <w:r>
        <w:rPr>
          <w:rFonts w:ascii="Arial" w:cs="Arial" w:eastAsia="Arial" w:hAnsi="Arial"/>
          <w:b/>
          <w:bCs/>
          <w:color w:val="2E75B6"/>
          <w:sz w:val="24"/>
          <w:szCs w:val="24"/>
        </w:rPr>
        <w:t xml:space="preserve">1.3  Scope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In Scope</w:t>
            </w:r>
          </w:p>
        </w:tc>
        <w:tc>
          <w:tcPr>
            <w:tcW w:type="dxa" w:w="656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Out of Scope</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Game design production pipeline (pre-production through post-production)</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Advanced Unity systems (shaders, networking, physics simulation)</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Scope definition and scope creep recognition</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Programming concepts beyond GDD-driven scripting basics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Design documentation (GDD, one-page pitch, milestone planning)</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Other CTAE elective courses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Decision-making frameworks for feature prioritization</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External game jam participation or publishing</w:t>
            </w:r>
          </w:p>
        </w:tc>
      </w:tr>
    </w:tbl>
    <w:p>
      <w:pPr>
        <w:spacing w:after="280"/>
      </w:pPr>
      <w:r>
        <w:t xml:space="preserve"/>
      </w:r>
    </w:p>
    <w:p>
      <w:pPr>
        <w:spacing w:after="360"/>
      </w:pPr>
      <w:r>
        <w:t xml:space="preserve"/>
      </w:r>
    </w:p>
    <w:p>
      <w:r>
        <w:br w:type="page"/>
      </w:r>
    </w:p>
    <w:p>
      <w:pPr>
        <w:pStyle w:val="Heading1"/>
      </w:pPr>
      <w:r>
        <w:rPr>
          <w:rFonts w:ascii="Arial" w:cs="Arial" w:eastAsia="Arial" w:hAnsi="Arial"/>
          <w:b/>
          <w:bCs/>
          <w:color w:val="1B3A5C"/>
          <w:sz w:val="28"/>
          <w:szCs w:val="28"/>
        </w:rPr>
        <w:t xml:space="preserve">2.  Needs Analysis</w:t>
      </w:r>
    </w:p>
    <w:p>
      <w:pPr>
        <w:pBdr>
          <w:bottom w:val="single" w:color="2E75B6" w:sz="4" w:space="1"/>
        </w:pBdr>
        <w:spacing w:before="80" w:after="200"/>
      </w:pPr>
      <w:r>
        <w:t xml:space="preserve"/>
      </w:r>
    </w:p>
    <w:p>
      <w:pPr>
        <w:pStyle w:val="Heading2"/>
      </w:pPr>
      <w:r>
        <w:rPr>
          <w:rFonts w:ascii="Arial" w:cs="Arial" w:eastAsia="Arial" w:hAnsi="Arial"/>
          <w:b/>
          <w:bCs/>
          <w:color w:val="2E75B6"/>
          <w:sz w:val="24"/>
          <w:szCs w:val="24"/>
        </w:rPr>
        <w:t xml:space="preserve">2.1  Analysis Method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200"/>
        <w:gridCol w:w="3160"/>
      </w:tblGrid>
      <w:tr>
        <w:tc>
          <w:tcPr>
            <w:tcW w:type="dxa" w:w="30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Data Source / Method</w:t>
            </w:r>
          </w:p>
        </w:tc>
        <w:tc>
          <w:tcPr>
            <w:tcW w:type="dxa" w:w="32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Participants</w:t>
            </w:r>
          </w:p>
        </w:tc>
        <w:tc>
          <w:tcPr>
            <w:tcW w:type="dxa" w:w="316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Tool &amp; Timing</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Interim Assessment #1 (IA1) — multiple choice and short answer</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125+ students across all Game Design sections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LMS-administered; analyzed within 1 week of submission</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Instructor observation of student project work</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All sections during synchronous Zoom sessions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Ongoing — Weeks 1 through 6 of the semester</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Review of prior semester final project submissions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Previous Game Design cohort</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Conducted at start of current semester during curriculum planning</w:t>
            </w:r>
          </w:p>
        </w:tc>
      </w:tr>
    </w:tbl>
    <w:p>
      <w:pPr>
        <w:spacing w:after="280"/>
      </w:pPr>
      <w:r>
        <w:t xml:space="preserve"/>
      </w:r>
    </w:p>
    <w:p>
      <w:pPr>
        <w:pStyle w:val="Heading2"/>
      </w:pPr>
      <w:r>
        <w:rPr>
          <w:rFonts w:ascii="Arial" w:cs="Arial" w:eastAsia="Arial" w:hAnsi="Arial"/>
          <w:b/>
          <w:bCs/>
          <w:color w:val="2E75B6"/>
          <w:sz w:val="24"/>
          <w:szCs w:val="24"/>
        </w:rPr>
        <w:t xml:space="preserve">2.2  Key Findings</w:t>
      </w:r>
    </w:p>
    <w:p>
      <w:pPr>
        <w:pStyle w:val="ListParagraph"/>
        <w:numPr>
          <w:ilvl w:val="0"/>
          <w:numId w:val="2"/>
        </w:numPr>
        <w:spacing w:after="80"/>
      </w:pPr>
      <w:r>
        <w:rPr>
          <w:rFonts w:ascii="Arial" w:cs="Arial" w:eastAsia="Arial" w:hAnsi="Arial"/>
          <w:color w:val="333333"/>
          <w:sz w:val="22"/>
          <w:szCs w:val="22"/>
        </w:rPr>
        <w:t xml:space="preserve">IA1 results indicated that the majority of students could not correctly sequence the stages of game production (pre-production, production, post-production) when presented with out-of-order scenarios.</w:t>
      </w:r>
    </w:p>
    <w:p>
      <w:pPr>
        <w:pStyle w:val="ListParagraph"/>
        <w:numPr>
          <w:ilvl w:val="0"/>
          <w:numId w:val="2"/>
        </w:numPr>
        <w:spacing w:after="80"/>
      </w:pPr>
      <w:r>
        <w:rPr>
          <w:rFonts w:ascii="Arial" w:cs="Arial" w:eastAsia="Arial" w:hAnsi="Arial"/>
          <w:color w:val="333333"/>
          <w:sz w:val="22"/>
          <w:szCs w:val="22"/>
        </w:rPr>
        <w:t xml:space="preserve">Students demonstrated difficulty distinguishing between in-scope and out-of-scope design decisions; most could not identify scope creep by name or describe its consequences.</w:t>
      </w:r>
    </w:p>
    <w:p>
      <w:pPr>
        <w:pStyle w:val="ListParagraph"/>
        <w:numPr>
          <w:ilvl w:val="0"/>
          <w:numId w:val="2"/>
        </w:numPr>
        <w:spacing w:after="80"/>
      </w:pPr>
      <w:r>
        <w:rPr>
          <w:rFonts w:ascii="Arial" w:cs="Arial" w:eastAsia="Arial" w:hAnsi="Arial"/>
          <w:color w:val="333333"/>
          <w:sz w:val="22"/>
          <w:szCs w:val="22"/>
        </w:rPr>
        <w:t xml:space="preserve">Instructor observation revealed that students frequently opened Unity and began building before completing any design documentation, resulting in unfocused projects lacking a coherent core mechanic.</w:t>
      </w:r>
    </w:p>
    <w:p>
      <w:pPr>
        <w:pStyle w:val="ListParagraph"/>
        <w:numPr>
          <w:ilvl w:val="0"/>
          <w:numId w:val="2"/>
        </w:numPr>
        <w:spacing w:after="80"/>
      </w:pPr>
      <w:r>
        <w:rPr>
          <w:rFonts w:ascii="Arial" w:cs="Arial" w:eastAsia="Arial" w:hAnsi="Arial"/>
          <w:color w:val="333333"/>
          <w:sz w:val="22"/>
          <w:szCs w:val="22"/>
        </w:rPr>
        <w:t xml:space="preserve">A review of prior semester final projects showed a recurring pattern of over-ambitious initial designs that were either incomplete at submission or heavily scaled back without documentation of the scope decision.</w:t>
      </w:r>
    </w:p>
    <w:p>
      <w:pPr>
        <w:spacing w:after="160"/>
      </w:pPr>
      <w:r>
        <w:t xml:space="preserve"/>
      </w:r>
    </w:p>
    <w:p>
      <w:pPr>
        <w:pStyle w:val="Heading2"/>
      </w:pPr>
      <w:r>
        <w:rPr>
          <w:rFonts w:ascii="Arial" w:cs="Arial" w:eastAsia="Arial" w:hAnsi="Arial"/>
          <w:b/>
          <w:bCs/>
          <w:color w:val="2E75B6"/>
          <w:sz w:val="24"/>
          <w:szCs w:val="24"/>
        </w:rPr>
        <w:t xml:space="preserve">2.3  Root Cause</w:t>
      </w:r>
    </w:p>
    <w:p>
      <w:pPr>
        <w:spacing w:after="120"/>
      </w:pPr>
      <w:r>
        <w:rPr>
          <w:rFonts w:ascii="Arial" w:cs="Arial" w:eastAsia="Arial" w:hAnsi="Arial"/>
          <w:i w:val="false"/>
          <w:iCs w:val="false"/>
          <w:color w:val="333333"/>
          <w:sz w:val="22"/>
          <w:szCs w:val="22"/>
        </w:rPr>
        <w:t xml:space="preserve">The root cause is a knowledge and schema gap, not a motivation or technology issue. Students have not been explicitly taught a mental model for the game production pipeline as a structured, sequential process. The existing curriculum addresses individual production stages (design documentation, Unity development, playtesting) but does not provide dedicated instruction on how those stages connect, what decisions govern transitions between them, or how scope functions as an ongoing design constraint throughout the process.</w:t>
      </w:r>
    </w:p>
    <w:p>
      <w:pPr>
        <w:spacing w:after="80"/>
      </w:pPr>
      <w:r>
        <w:t xml:space="preserve"/>
      </w:r>
    </w:p>
    <w:p>
      <w:pPr>
        <w:spacing w:after="120"/>
      </w:pPr>
      <w:r>
        <w:rPr>
          <w:rFonts w:ascii="Arial" w:cs="Arial" w:eastAsia="Arial" w:hAnsi="Arial"/>
          <w:i w:val="false"/>
          <w:iCs w:val="false"/>
          <w:color w:val="333333"/>
          <w:sz w:val="22"/>
          <w:szCs w:val="22"/>
        </w:rPr>
        <w:t xml:space="preserve">Because students lack this connective framework, they default to the most visible and exciting stage — opening Unity — without the prerequisite planning work. The result is projects that are technically initiated but structurally underprepared, making scope management and intentional iteration nearly impossible.</w:t>
      </w:r>
    </w:p>
    <w:p>
      <w:pPr>
        <w:spacing w:after="280"/>
      </w:pPr>
      <w:r>
        <w:t xml:space="preserve"/>
      </w:r>
    </w:p>
    <w:p>
      <w:pPr>
        <w:spacing w:after="360"/>
      </w:pPr>
      <w:r>
        <w:t xml:space="preserve"/>
      </w:r>
    </w:p>
    <w:p>
      <w:r>
        <w:br w:type="page"/>
      </w:r>
    </w:p>
    <w:p>
      <w:pPr>
        <w:pStyle w:val="Heading1"/>
      </w:pPr>
      <w:r>
        <w:rPr>
          <w:rFonts w:ascii="Arial" w:cs="Arial" w:eastAsia="Arial" w:hAnsi="Arial"/>
          <w:b/>
          <w:bCs/>
          <w:color w:val="1B3A5C"/>
          <w:sz w:val="28"/>
          <w:szCs w:val="28"/>
        </w:rPr>
        <w:t xml:space="preserve">3.  Learner Profile</w:t>
      </w:r>
    </w:p>
    <w:p>
      <w:pPr>
        <w:pBdr>
          <w:bottom w:val="single" w:color="2E75B6" w:sz="4" w:space="1"/>
        </w:pBdr>
        <w:spacing w:before="80" w:after="200"/>
      </w:pPr>
      <w:r>
        <w:t xml:space="preserve"/>
      </w:r>
    </w:p>
    <w:p>
      <w:pPr>
        <w:pStyle w:val="Heading2"/>
      </w:pPr>
      <w:r>
        <w:rPr>
          <w:rFonts w:ascii="Arial" w:cs="Arial" w:eastAsia="Arial" w:hAnsi="Arial"/>
          <w:b/>
          <w:bCs/>
          <w:color w:val="2E75B6"/>
          <w:sz w:val="24"/>
          <w:szCs w:val="24"/>
        </w:rPr>
        <w:t xml:space="preserve">3.1  Demographics &amp; 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Factor</w:t>
            </w:r>
          </w:p>
        </w:tc>
        <w:tc>
          <w:tcPr>
            <w:tcW w:type="dxa" w:w="656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Description</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Age / Grade Level</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High school, grades 9–12</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Number of Learners</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125+ students across multiple synchronous sections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Demographics</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Majority-minority student population; significant proportion of students from low-income households; diverse geographic distribution across Georgia</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Prior Knowledge</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Basic computer literacy required; most students have completed Introduction to Software Technology or a comparable prerequisite; limited prior exposure to formal design processes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Learning Environment</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Fully virtual, synchronous via Zoom; all materials delivered through the LMS; no in-person component</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Technology Access</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Mix of student-owned and school-supported devices; instructor cannot assume consistent hardware capability for high-demand Unity builds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Motivational Factors</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High intrinsic interest in gaming as a medium; motivation is often tied to the desire to build the games they want to play, which contributes to over-scoping; grade-conscious but responds well to creative autonomy</w:t>
            </w:r>
          </w:p>
        </w:tc>
      </w:tr>
    </w:tbl>
    <w:p>
      <w:pPr>
        <w:spacing w:after="280"/>
      </w:pPr>
      <w:r>
        <w:t xml:space="preserve"/>
      </w:r>
    </w:p>
    <w:p>
      <w:pPr>
        <w:pStyle w:val="Heading2"/>
      </w:pPr>
      <w:r>
        <w:rPr>
          <w:rFonts w:ascii="Arial" w:cs="Arial" w:eastAsia="Arial" w:hAnsi="Arial"/>
          <w:b/>
          <w:bCs/>
          <w:color w:val="2E75B6"/>
          <w:sz w:val="24"/>
          <w:szCs w:val="24"/>
        </w:rPr>
        <w:t xml:space="preserve">3.2  Accessibility &amp; Accommodations</w:t>
      </w:r>
    </w:p>
    <w:p>
      <w:pPr>
        <w:spacing w:after="120"/>
      </w:pPr>
      <w:r>
        <w:rPr>
          <w:rFonts w:ascii="Arial" w:cs="Arial" w:eastAsia="Arial" w:hAnsi="Arial"/>
          <w:i w:val="false"/>
          <w:iCs w:val="false"/>
          <w:color w:val="333333"/>
          <w:sz w:val="22"/>
          <w:szCs w:val="22"/>
        </w:rPr>
        <w:t xml:space="preserve">GCA serves students with a range of IEP and 504 accommodations, including extended time, reduced distraction environments, and flexible submission windows. Because all instruction is virtual, UDL principles are applied throughout the course design: content is presented in multiple formats (video, written notes, and interactive activities), students have flexibility in how they demonstrate understanding, and all synchronous sessions are recorded for asynchronous review.</w:t>
      </w:r>
    </w:p>
    <w:p>
      <w:pPr>
        <w:spacing w:after="80"/>
      </w:pPr>
      <w:r>
        <w:t xml:space="preserve"/>
      </w:r>
    </w:p>
    <w:p>
      <w:pPr>
        <w:spacing w:after="120"/>
      </w:pPr>
      <w:r>
        <w:rPr>
          <w:rFonts w:ascii="Arial" w:cs="Arial" w:eastAsia="Arial" w:hAnsi="Arial"/>
          <w:i w:val="false"/>
          <w:iCs w:val="false"/>
          <w:color w:val="333333"/>
          <w:sz w:val="22"/>
          <w:szCs w:val="22"/>
        </w:rPr>
        <w:t xml:space="preserve">The proposed scope and production unit will follow these same principles: instructional content will be available as both synchronous lesson delivery and LMS-hosted reference materials, and scenario-based activities will accommodate multiple response modes (written, verbal via Flip, or structured template).</w:t>
      </w:r>
    </w:p>
    <w:p>
      <w:pPr>
        <w:spacing w:after="280"/>
      </w:pPr>
      <w:r>
        <w:t xml:space="preserve"/>
      </w:r>
    </w:p>
    <w:p>
      <w:pPr>
        <w:spacing w:after="360"/>
      </w:pPr>
      <w:r>
        <w:t xml:space="preserve"/>
      </w:r>
    </w:p>
    <w:p>
      <w:r>
        <w:br w:type="page"/>
      </w:r>
    </w:p>
    <w:p>
      <w:pPr>
        <w:pStyle w:val="Heading1"/>
      </w:pPr>
      <w:r>
        <w:rPr>
          <w:rFonts w:ascii="Arial" w:cs="Arial" w:eastAsia="Arial" w:hAnsi="Arial"/>
          <w:b/>
          <w:bCs/>
          <w:color w:val="1B3A5C"/>
          <w:sz w:val="28"/>
          <w:szCs w:val="28"/>
        </w:rPr>
        <w:t xml:space="preserve">4.  Learning Objectives</w:t>
      </w:r>
    </w:p>
    <w:p>
      <w:pPr>
        <w:pBdr>
          <w:bottom w:val="single" w:color="2E75B6" w:sz="4" w:space="1"/>
        </w:pBdr>
        <w:spacing w:before="80" w:after="200"/>
      </w:pPr>
      <w:r>
        <w:t xml:space="preserve"/>
      </w:r>
    </w:p>
    <w:p>
      <w:pPr>
        <w:spacing w:after="120"/>
      </w:pPr>
      <w:r>
        <w:rPr>
          <w:rFonts w:ascii="Arial" w:cs="Arial" w:eastAsia="Arial" w:hAnsi="Arial"/>
          <w:i w:val="false"/>
          <w:iCs w:val="false"/>
          <w:color w:val="333333"/>
          <w:sz w:val="22"/>
          <w:szCs w:val="22"/>
        </w:rPr>
        <w:t xml:space="preserve">The following objectives are written for the proposed Game Design Production &amp; Scope unit. Each is measurable, observable, and aligned to a Bloom's Taxonomy level.</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1800"/>
        <w:gridCol w:w="2560"/>
      </w:tblGrid>
      <w:tr>
        <w:tc>
          <w:tcPr>
            <w:tcW w:type="dxa" w:w="50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Learning Objective (ABCD Format)</w:t>
            </w:r>
          </w:p>
        </w:tc>
        <w:tc>
          <w:tcPr>
            <w:tcW w:type="dxa" w:w="18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Bloom's Level</w:t>
            </w:r>
          </w:p>
        </w:tc>
        <w:tc>
          <w:tcPr>
            <w:tcW w:type="dxa" w:w="256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Assessment</w:t>
            </w:r>
          </w:p>
        </w:tc>
      </w:tr>
      <w:tr>
        <w:tc>
          <w:tcPr>
            <w:tcW w:type="dxa" w:w="50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Given a list of game development tasks, students will correctly sequence all stages of the game production pipeline (pre-production, production, post-production) with at least 80% accuracy.</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Understand</w:t>
            </w:r>
          </w:p>
        </w:tc>
        <w:tc>
          <w:tcPr>
            <w:tcW w:type="dxa" w:w="2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IA2 sequencing question; exit ticket</w:t>
            </w:r>
          </w:p>
        </w:tc>
      </w:tr>
      <w:tr>
        <w:tc>
          <w:tcPr>
            <w:tcW w:type="dxa" w:w="50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Given a sample game design scenario, students will identify at least two examples of scope creep and explain the consequence of each on the production timeline.</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Analyze</w:t>
            </w:r>
          </w:p>
        </w:tc>
        <w:tc>
          <w:tcPr>
            <w:tcW w:type="dxa" w:w="2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Scenario-based branching activity; short written response</w:t>
            </w:r>
          </w:p>
        </w:tc>
      </w:tr>
      <w:tr>
        <w:tc>
          <w:tcPr>
            <w:tcW w:type="dxa" w:w="50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Students will construct a one-page Game Design Document (GDD) for their original project that defines the core mechanic, target audience, platform, and a scoped feature list before beginning any Unity development.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Create</w:t>
            </w:r>
          </w:p>
        </w:tc>
        <w:tc>
          <w:tcPr>
            <w:tcW w:type="dxa" w:w="2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GDD rubric scored before Unity build phase opens</w:t>
            </w:r>
          </w:p>
        </w:tc>
      </w:tr>
      <w:tr>
        <w:tc>
          <w:tcPr>
            <w:tcW w:type="dxa" w:w="50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When reviewing a project in progress, students will apply a feature prioritization framework to distinguish must-have, nice-to-have, and out-of-scope features, producing a revised feature list with written rationale.</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Evaluate</w:t>
            </w:r>
          </w:p>
        </w:tc>
        <w:tc>
          <w:tcPr>
            <w:tcW w:type="dxa" w:w="2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Milestone check-in rubric; peer review protocol</w:t>
            </w:r>
          </w:p>
        </w:tc>
      </w:tr>
      <w:tr>
        <w:tc>
          <w:tcPr>
            <w:tcW w:type="dxa" w:w="50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Students will demonstrate scope management across a multi-week project by submitting at least two documented milestone check-ins that reflect intentional design decisions rather than reactive changes.</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Apply</w:t>
            </w:r>
          </w:p>
        </w:tc>
        <w:tc>
          <w:tcPr>
            <w:tcW w:type="dxa" w:w="25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Milestone log; final project reflection</w:t>
            </w:r>
          </w:p>
        </w:tc>
      </w:tr>
    </w:tbl>
    <w:p>
      <w:pPr>
        <w:spacing w:after="280"/>
      </w:pPr>
      <w:r>
        <w:t xml:space="preserve"/>
      </w:r>
    </w:p>
    <w:p>
      <w:pPr>
        <w:spacing w:after="360"/>
      </w:pPr>
      <w:r>
        <w:t xml:space="preserve"/>
      </w:r>
    </w:p>
    <w:p>
      <w:r>
        <w:br w:type="page"/>
      </w:r>
    </w:p>
    <w:p>
      <w:pPr>
        <w:pStyle w:val="Heading1"/>
      </w:pPr>
      <w:r>
        <w:rPr>
          <w:rFonts w:ascii="Arial" w:cs="Arial" w:eastAsia="Arial" w:hAnsi="Arial"/>
          <w:b/>
          <w:bCs/>
          <w:color w:val="1B3A5C"/>
          <w:sz w:val="28"/>
          <w:szCs w:val="28"/>
        </w:rPr>
        <w:t xml:space="preserve">5.  Evaluation Plan — Kirkpatrick Model</w:t>
      </w:r>
    </w:p>
    <w:p>
      <w:pPr>
        <w:pBdr>
          <w:bottom w:val="single" w:color="2E75B6" w:sz="4" w:space="1"/>
        </w:pBdr>
        <w:spacing w:before="80" w:after="200"/>
      </w:pPr>
      <w:r>
        <w:t xml:space="preserve"/>
      </w:r>
    </w:p>
    <w:p>
      <w:pPr>
        <w:spacing w:after="120"/>
      </w:pPr>
      <w:r>
        <w:rPr>
          <w:rFonts w:ascii="Arial" w:cs="Arial" w:eastAsia="Arial" w:hAnsi="Arial"/>
          <w:i w:val="false"/>
          <w:iCs w:val="false"/>
          <w:color w:val="333333"/>
          <w:sz w:val="22"/>
          <w:szCs w:val="22"/>
        </w:rPr>
        <w:t xml:space="preserve">The Kirkpatrick Four-Level Model is used here to evaluate the effectiveness of the proposed scope and production unit at increasing levels of impact, from immediate learner reaction through measurable course outcomes.</w:t>
      </w:r>
    </w:p>
    <w:p>
      <w:pPr>
        <w:spacing w:after="120"/>
      </w:pPr>
      <w:r>
        <w:t xml:space="preserve"/>
      </w:r>
    </w:p>
    <w:p>
      <w:pPr>
        <w:pStyle w:val="Heading2"/>
      </w:pPr>
      <w:r>
        <w:rPr>
          <w:rFonts w:ascii="Arial" w:cs="Arial" w:eastAsia="Arial" w:hAnsi="Arial"/>
          <w:b/>
          <w:bCs/>
          <w:color w:val="2E75B6"/>
          <w:sz w:val="24"/>
          <w:szCs w:val="24"/>
        </w:rPr>
        <w:t xml:space="preserve">Level 1 · Reaction</w:t>
      </w:r>
    </w:p>
    <w:p>
      <w:pPr>
        <w:spacing w:after="120"/>
      </w:pPr>
      <w:r>
        <w:rPr>
          <w:rFonts w:ascii="Arial" w:cs="Arial" w:eastAsia="Arial" w:hAnsi="Arial"/>
          <w:i w:val="false"/>
          <w:iCs w:val="false"/>
          <w:color w:val="333333"/>
          <w:sz w:val="22"/>
          <w:szCs w:val="22"/>
        </w:rPr>
        <w:t xml:space="preserve">How did learners respond to the unit? Was it engaging and relevant to their experience as game designers?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Guiding Question</w:t>
            </w:r>
          </w:p>
        </w:tc>
        <w:tc>
          <w:tcPr>
            <w:tcW w:type="dxa" w:w="676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Guiding Question</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Guiding Question</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Did students find the scope and production unit relevant to their game design work? Did the scenario-based activities feel realistic and engaging?</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Method</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End-of-unit student survey (Google Form): 5-item Likert scale covering perceived relevance, engagement, and confidence; 2 open-ended prompts asking what was most useful and what could be improved.</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Timing</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Administered during the final 5 minutes of the last synchronous session of the unit; also available asynchronously via LMS for 48 hours.</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Success Indicator</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80% or more of respondents rate the unit as relevant or highly relevant to their game design work; qualitative responses show understanding of the connection between scope planning and project success.</w:t>
            </w:r>
          </w:p>
        </w:tc>
      </w:tr>
    </w:tbl>
    <w:p>
      <w:pPr>
        <w:spacing w:after="280"/>
      </w:pPr>
      <w:r>
        <w:t xml:space="preserve"/>
      </w:r>
    </w:p>
    <w:p>
      <w:pPr>
        <w:pStyle w:val="Heading2"/>
      </w:pPr>
      <w:r>
        <w:rPr>
          <w:rFonts w:ascii="Arial" w:cs="Arial" w:eastAsia="Arial" w:hAnsi="Arial"/>
          <w:b/>
          <w:bCs/>
          <w:color w:val="2E75B6"/>
          <w:sz w:val="24"/>
          <w:szCs w:val="24"/>
        </w:rPr>
        <w:t xml:space="preserve">Level 2 · Learning</w:t>
      </w:r>
    </w:p>
    <w:p>
      <w:pPr>
        <w:spacing w:after="120"/>
      </w:pPr>
      <w:r>
        <w:rPr>
          <w:rFonts w:ascii="Arial" w:cs="Arial" w:eastAsia="Arial" w:hAnsi="Arial"/>
          <w:i w:val="false"/>
          <w:iCs w:val="false"/>
          <w:color w:val="333333"/>
          <w:sz w:val="22"/>
          <w:szCs w:val="22"/>
        </w:rPr>
        <w:t xml:space="preserve">Did students acquire the knowledge and skills outlined in the learning objectives?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Component</w:t>
            </w:r>
          </w:p>
        </w:tc>
        <w:tc>
          <w:tcPr>
            <w:tcW w:type="dxa" w:w="676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Details</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Guiding Question</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Can students correctly sequence the production pipeline, identify scope creep, and produce a scoped GDD prior to beginning development?</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Method</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Pre/post assessment using an adapted version of IA1 items (pipeline sequencing, scope identification); GDD rubric scored before the Unity build phase opens; scenario-based activity completion rate.</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Timing</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Pre-assessment administered on Day 1 of the unit; post-assessment (IA2 items) administered on the final day; GDD submitted as a unit gate before production begins.</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Success Indicator</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Average improvement of 20 or more percentage points from pre- to post-assessment on pipeline and scope items; 80% of students submit a complete, rubric-passing GDD before beginning Unity development.</w:t>
            </w:r>
          </w:p>
        </w:tc>
      </w:tr>
    </w:tbl>
    <w:p>
      <w:pPr>
        <w:spacing w:after="280"/>
      </w:pPr>
      <w:r>
        <w:t xml:space="preserve"/>
      </w:r>
    </w:p>
    <w:p>
      <w:pPr>
        <w:pStyle w:val="Heading2"/>
      </w:pPr>
      <w:r>
        <w:rPr>
          <w:rFonts w:ascii="Arial" w:cs="Arial" w:eastAsia="Arial" w:hAnsi="Arial"/>
          <w:b/>
          <w:bCs/>
          <w:color w:val="2E75B6"/>
          <w:sz w:val="24"/>
          <w:szCs w:val="24"/>
        </w:rPr>
        <w:t xml:space="preserve">Level 3 · Behavior</w:t>
      </w:r>
    </w:p>
    <w:p>
      <w:pPr>
        <w:spacing w:after="120"/>
      </w:pPr>
      <w:r>
        <w:rPr>
          <w:rFonts w:ascii="Arial" w:cs="Arial" w:eastAsia="Arial" w:hAnsi="Arial"/>
          <w:i w:val="false"/>
          <w:iCs w:val="false"/>
          <w:color w:val="333333"/>
          <w:sz w:val="22"/>
          <w:szCs w:val="22"/>
        </w:rPr>
        <w:t xml:space="preserve">Are students applying scope management practices in their subsequent project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Component</w:t>
            </w:r>
          </w:p>
        </w:tc>
        <w:tc>
          <w:tcPr>
            <w:tcW w:type="dxa" w:w="676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Details</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Guiding Question</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 their semester project, are students completing GDDs before opening Unity, submitting milestone check-ins, and making documented scope decisions rather than reactive ones?</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Method</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Milestone log review at Weeks 4 and 8 of the project phase; instructor observation checklist tracking whether students reference their GDD during development sessions; project reflection rubric at submission.</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Timing</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First milestone check: 4 weeks after unit completion; second milestone check: 8 weeks after unit completion; final reflection: end-of-semester project submission.</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Success Indicator</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70% of students submit both milestone check-ins on time with evidence of intentional scope decisions; instructor checklist shows GDD reference behavior in at least 70% of observed sessions.</w:t>
            </w:r>
          </w:p>
        </w:tc>
      </w:tr>
    </w:tbl>
    <w:p>
      <w:pPr>
        <w:spacing w:after="280"/>
      </w:pPr>
      <w:r>
        <w:t xml:space="preserve"/>
      </w:r>
    </w:p>
    <w:p>
      <w:pPr>
        <w:pStyle w:val="Heading2"/>
      </w:pPr>
      <w:r>
        <w:rPr>
          <w:rFonts w:ascii="Arial" w:cs="Arial" w:eastAsia="Arial" w:hAnsi="Arial"/>
          <w:b/>
          <w:bCs/>
          <w:color w:val="2E75B6"/>
          <w:sz w:val="24"/>
          <w:szCs w:val="24"/>
        </w:rPr>
        <w:t xml:space="preserve">Level 4 · Results</w:t>
      </w:r>
    </w:p>
    <w:p>
      <w:pPr>
        <w:spacing w:after="120"/>
      </w:pPr>
      <w:r>
        <w:rPr>
          <w:rFonts w:ascii="Arial" w:cs="Arial" w:eastAsia="Arial" w:hAnsi="Arial"/>
          <w:i w:val="false"/>
          <w:iCs w:val="false"/>
          <w:color w:val="333333"/>
          <w:sz w:val="22"/>
          <w:szCs w:val="22"/>
        </w:rPr>
        <w:t xml:space="preserve">Did the unit produce meaningful improvements in course outcomes?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Component</w:t>
            </w:r>
          </w:p>
        </w:tc>
        <w:tc>
          <w:tcPr>
            <w:tcW w:type="dxa" w:w="676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2"/>
                <w:szCs w:val="22"/>
              </w:rPr>
              <w:t xml:space="preserve">Details</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Guiding Question</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Did the scope and production unit reduce the incidence of incomplete or over-scoped final projects compared to the prior cohort?</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Method</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End-of-semester final project completion rate and rubric score distribution compared to prior year data; IA2 aggregate score comparison to IA1 baseline; qualitative analysis of student reflections for evidence of scope reasoning.</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Timing</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End of semester; comparison to prior cohort conducted during post-semester curriculum review.</w:t>
            </w:r>
          </w:p>
        </w:tc>
      </w:tr>
      <w:tr>
        <w:tc>
          <w:tcPr>
            <w:tcW w:type="dxa" w:w="26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Success Indicator</w:t>
            </w:r>
          </w:p>
        </w:tc>
        <w:tc>
          <w:tcPr>
            <w:tcW w:type="dxa" w:w="676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Final project completion rate increases by at least 10 percentage points compared to the prior cohort; average final project rubric score improves by at least one proficiency band; scope-related IA items show at least 20-point improvement over IA1 baseline.</w:t>
            </w:r>
          </w:p>
        </w:tc>
      </w:tr>
    </w:tbl>
    <w:p>
      <w:pPr>
        <w:spacing w:after="280"/>
      </w:pPr>
      <w:r>
        <w:t xml:space="preserve"/>
      </w:r>
    </w:p>
    <w:p>
      <w:pPr>
        <w:spacing w:after="360"/>
      </w:pPr>
      <w:r>
        <w:t xml:space="preserve"/>
      </w:r>
    </w:p>
    <w:p>
      <w:r>
        <w:br w:type="page"/>
      </w:r>
    </w:p>
    <w:p>
      <w:pPr>
        <w:pStyle w:val="Heading1"/>
      </w:pPr>
      <w:r>
        <w:rPr>
          <w:rFonts w:ascii="Arial" w:cs="Arial" w:eastAsia="Arial" w:hAnsi="Arial"/>
          <w:b/>
          <w:bCs/>
          <w:color w:val="1B3A5C"/>
          <w:sz w:val="28"/>
          <w:szCs w:val="28"/>
        </w:rPr>
        <w:t xml:space="preserve">6.  Data Collection Plan</w:t>
      </w:r>
    </w:p>
    <w:p>
      <w:pPr>
        <w:pBdr>
          <w:bottom w:val="single" w:color="2E75B6" w:sz="4" w:space="1"/>
        </w:pBdr>
        <w:spacing w:before="80" w:after="200"/>
      </w:pPr>
      <w:r>
        <w:t xml:space="preserve"/>
      </w:r>
    </w:p>
    <w:p>
      <w:pPr>
        <w:spacing w:after="120"/>
      </w:pPr>
      <w:r>
        <w:rPr>
          <w:rFonts w:ascii="Arial" w:cs="Arial" w:eastAsia="Arial" w:hAnsi="Arial"/>
          <w:i w:val="false"/>
          <w:iCs w:val="false"/>
          <w:color w:val="333333"/>
          <w:sz w:val="22"/>
          <w:szCs w:val="22"/>
        </w:rPr>
        <w:t xml:space="preserve">The following table summarizes all data collection activities across the project lifecycle, aligned to the Kirkpatrick evaluation levels.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700"/>
        <w:gridCol w:w="2100"/>
        <w:gridCol w:w="1680"/>
        <w:gridCol w:w="1480"/>
      </w:tblGrid>
      <w:tr>
        <w:tc>
          <w:tcPr>
            <w:tcW w:type="dxa" w:w="14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Level</w:t>
            </w:r>
          </w:p>
        </w:tc>
        <w:tc>
          <w:tcPr>
            <w:tcW w:type="dxa" w:w="27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Instrument</w:t>
            </w:r>
          </w:p>
        </w:tc>
        <w:tc>
          <w:tcPr>
            <w:tcW w:type="dxa" w:w="210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Administered By</w:t>
            </w:r>
          </w:p>
        </w:tc>
        <w:tc>
          <w:tcPr>
            <w:tcW w:type="dxa" w:w="168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Timeline</w:t>
            </w:r>
          </w:p>
        </w:tc>
        <w:tc>
          <w:tcPr>
            <w:tcW w:type="dxa" w:w="1480"/>
            <w:tcBorders>
              <w:top w:val="single" w:color="CCCCCC" w:sz="1"/>
              <w:left w:val="single" w:color="CCCCCC" w:sz="1"/>
              <w:bottom w:val="single" w:color="CCCCCC" w:sz="1"/>
              <w:right w:val="single" w:color="CCCCCC" w:sz="1"/>
            </w:tcBorders>
            <w:shd w:fill="1B3A5C" w:val="clear"/>
            <w:tcMar>
              <w:top w:type="dxa" w:w="100"/>
              <w:left w:type="dxa" w:w="130"/>
              <w:bottom w:type="dxa" w:w="100"/>
              <w:right w:type="dxa" w:w="130"/>
            </w:tcMar>
          </w:tcPr>
          <w:p>
            <w:pPr>
              <w:jc w:val="left"/>
            </w:pPr>
            <w:r>
              <w:rPr>
                <w:rFonts w:ascii="Arial" w:cs="Arial" w:eastAsia="Arial" w:hAnsi="Arial"/>
                <w:b/>
                <w:bCs/>
                <w:i w:val="false"/>
                <w:iCs w:val="false"/>
                <w:color w:val="FFFFFF"/>
                <w:sz w:val="20"/>
                <w:szCs w:val="20"/>
              </w:rPr>
              <w:t xml:space="preserve">Owner</w:t>
            </w:r>
          </w:p>
        </w:tc>
      </w:tr>
      <w:tr>
        <w:tc>
          <w:tcPr>
            <w:tcW w:type="dxa" w:w="14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L1 – Reaction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End-of-unit student survey (Likert + open-ended)</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Instructor (Kira Shinn)</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Final session of unit</w:t>
            </w:r>
          </w:p>
        </w:tc>
        <w:tc>
          <w:tcPr>
            <w:tcW w:type="dxa" w:w="14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Kira Shinn</w:t>
            </w:r>
          </w:p>
        </w:tc>
      </w:tr>
      <w:tr>
        <w:tc>
          <w:tcPr>
            <w:tcW w:type="dxa" w:w="14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L2 – Learning</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Pre/post assessment using IA1 and IA2 pipeline &amp; scope items</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Instructor via LMS</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Day 1 of unit &amp; IA2 window</w:t>
            </w:r>
          </w:p>
        </w:tc>
        <w:tc>
          <w:tcPr>
            <w:tcW w:type="dxa" w:w="14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Kira Shinn</w:t>
            </w:r>
          </w:p>
        </w:tc>
      </w:tr>
      <w:tr>
        <w:tc>
          <w:tcPr>
            <w:tcW w:type="dxa" w:w="14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L2 – Learning</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GDD rubric (gate before Unity build phase)</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Instructor</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End of unit / start of project phase</w:t>
            </w:r>
          </w:p>
        </w:tc>
        <w:tc>
          <w:tcPr>
            <w:tcW w:type="dxa" w:w="14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Kira Shinn</w:t>
            </w:r>
          </w:p>
        </w:tc>
      </w:tr>
      <w:tr>
        <w:tc>
          <w:tcPr>
            <w:tcW w:type="dxa" w:w="14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L3 – Behavior</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Milestone check-in log (Weeks 4 &amp; 8 of project phase)</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Student self-report + instructor review</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Weeks 4 and 8 post-unit</w:t>
            </w:r>
          </w:p>
        </w:tc>
        <w:tc>
          <w:tcPr>
            <w:tcW w:type="dxa" w:w="14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Kira Shinn</w:t>
            </w:r>
          </w:p>
        </w:tc>
      </w:tr>
      <w:tr>
        <w:tc>
          <w:tcPr>
            <w:tcW w:type="dxa" w:w="14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L3 – Behavior</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Instructor observation checklist (GDD reference during dev)</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Instructor (Zoom session observation)</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Ongoing during project phase</w:t>
            </w:r>
          </w:p>
        </w:tc>
        <w:tc>
          <w:tcPr>
            <w:tcW w:type="dxa" w:w="14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Kira Shinn</w:t>
            </w:r>
          </w:p>
        </w:tc>
      </w:tr>
      <w:tr>
        <w:tc>
          <w:tcPr>
            <w:tcW w:type="dxa" w:w="14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L4 – Results</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Final project completion rate &amp; rubric score distribution</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Instructor + LMS gradebook</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End of semester</w:t>
            </w:r>
          </w:p>
        </w:tc>
        <w:tc>
          <w:tcPr>
            <w:tcW w:type="dxa" w:w="14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Kira Shinn</w:t>
            </w:r>
          </w:p>
        </w:tc>
      </w:tr>
      <w:tr>
        <w:tc>
          <w:tcPr>
            <w:tcW w:type="dxa" w:w="1400"/>
            <w:tcBorders>
              <w:top w:val="single" w:color="CCCCCC" w:sz="1"/>
              <w:left w:val="single" w:color="CCCCCC" w:sz="1"/>
              <w:bottom w:val="single" w:color="CCCCCC" w:sz="1"/>
              <w:right w:val="single" w:color="CCCCCC" w:sz="1"/>
            </w:tcBorders>
            <w:shd w:fill="F2F4F7" w:val="clear"/>
            <w:tcMar>
              <w:top w:type="dxa" w:w="100"/>
              <w:left w:type="dxa" w:w="130"/>
              <w:bottom w:type="dxa" w:w="100"/>
              <w:right w:type="dxa" w:w="130"/>
            </w:tcMar>
          </w:tcPr>
          <w:p>
            <w:pPr>
              <w:jc w:val="left"/>
            </w:pPr>
            <w:r>
              <w:rPr>
                <w:rFonts w:ascii="Arial" w:cs="Arial" w:eastAsia="Arial" w:hAnsi="Arial"/>
                <w:b/>
                <w:bCs/>
                <w:i w:val="false"/>
                <w:iCs w:val="false"/>
                <w:color w:val="1B3A5C"/>
                <w:sz w:val="22"/>
                <w:szCs w:val="22"/>
              </w:rPr>
              <w:t xml:space="preserve">L4 – Results</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Year-over-year cohort comparison (scope items, completion rate)</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Instructor during post-semester review</w:t>
            </w:r>
          </w:p>
        </w:tc>
        <w:tc>
          <w:tcPr>
            <w:tcW w:type="dxa" w:w="16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Post-semester curriculum review</w:t>
            </w:r>
          </w:p>
        </w:tc>
        <w:tc>
          <w:tcPr>
            <w:tcW w:type="dxa" w:w="1480"/>
            <w:tcBorders>
              <w:top w:val="single" w:color="CCCCCC" w:sz="1"/>
              <w:left w:val="single" w:color="CCCCCC" w:sz="1"/>
              <w:bottom w:val="single" w:color="CCCCCC" w:sz="1"/>
              <w:right w:val="single" w:color="CCCCCC" w:sz="1"/>
            </w:tcBorders>
            <w:shd w:fill="FFFFFF" w:val="clear"/>
            <w:tcMar>
              <w:top w:type="dxa" w:w="100"/>
              <w:left w:type="dxa" w:w="130"/>
              <w:bottom w:type="dxa" w:w="100"/>
              <w:right w:type="dxa" w:w="130"/>
            </w:tcMar>
          </w:tcPr>
          <w:p>
            <w:pPr>
              <w:jc w:val="left"/>
            </w:pPr>
            <w:r>
              <w:rPr>
                <w:rFonts w:ascii="Arial" w:cs="Arial" w:eastAsia="Arial" w:hAnsi="Arial"/>
                <w:b w:val="false"/>
                <w:bCs w:val="false"/>
                <w:i w:val="false"/>
                <w:iCs w:val="false"/>
                <w:color w:val="333333"/>
                <w:sz w:val="22"/>
                <w:szCs w:val="22"/>
              </w:rPr>
              <w:t xml:space="preserve">Kira Shinn</w:t>
            </w:r>
          </w:p>
        </w:tc>
      </w:tr>
    </w:tbl>
    <w:p>
      <w:pPr>
        <w:spacing w:after="280"/>
      </w:pPr>
      <w:r>
        <w:t xml:space="preserve"/>
      </w:r>
    </w:p>
    <w:p>
      <w:pPr>
        <w:spacing w:after="360"/>
      </w:pPr>
      <w:r>
        <w:t xml:space="preserve"/>
      </w:r>
    </w:p>
    <w:p>
      <w:r>
        <w:br w:type="page"/>
      </w:r>
    </w:p>
    <w:p>
      <w:pPr>
        <w:pStyle w:val="Heading1"/>
      </w:pPr>
      <w:r>
        <w:rPr>
          <w:rFonts w:ascii="Arial" w:cs="Arial" w:eastAsia="Arial" w:hAnsi="Arial"/>
          <w:b/>
          <w:bCs/>
          <w:color w:val="1B3A5C"/>
          <w:sz w:val="28"/>
          <w:szCs w:val="28"/>
        </w:rPr>
        <w:t xml:space="preserve">7.  Recommendations &amp; Next Steps</w:t>
      </w:r>
    </w:p>
    <w:p>
      <w:pPr>
        <w:pBdr>
          <w:bottom w:val="single" w:color="2E75B6" w:sz="4" w:space="1"/>
        </w:pBdr>
        <w:spacing w:before="80" w:after="200"/>
      </w:pPr>
      <w:r>
        <w:t xml:space="preserve"/>
      </w:r>
    </w:p>
    <w:p>
      <w:pPr>
        <w:pStyle w:val="Heading2"/>
      </w:pPr>
      <w:r>
        <w:rPr>
          <w:rFonts w:ascii="Arial" w:cs="Arial" w:eastAsia="Arial" w:hAnsi="Arial"/>
          <w:b/>
          <w:bCs/>
          <w:color w:val="2E75B6"/>
          <w:sz w:val="24"/>
          <w:szCs w:val="24"/>
        </w:rPr>
        <w:t xml:space="preserve">7.1  Recommended Intervention</w:t>
      </w:r>
    </w:p>
    <w:p>
      <w:pPr>
        <w:spacing w:after="120"/>
      </w:pPr>
      <w:r>
        <w:rPr>
          <w:rFonts w:ascii="Arial" w:cs="Arial" w:eastAsia="Arial" w:hAnsi="Arial"/>
          <w:i w:val="false"/>
          <w:iCs w:val="false"/>
          <w:color w:val="333333"/>
          <w:sz w:val="22"/>
          <w:szCs w:val="22"/>
        </w:rPr>
        <w:t xml:space="preserve">Design and implement a dedicated 2-week Game Design Production &amp; Scope unit to be delivered at the start of the project phase in Game Design: Animation &amp; Simulation. The unit should include: (1) direct instruction on the game production pipeline using industry-contextualized examples; (2) a scenario-based branching activity in which students navigate realistic production decisions and receive formative feedback; (3) structured GDD and milestone templates that gate entry into Unity development; and (4) a feature prioritization activity in which students practice scoping a provided design concept under time constraints.</w:t>
      </w:r>
    </w:p>
    <w:p>
      <w:pPr>
        <w:spacing w:after="80"/>
      </w:pPr>
      <w:r>
        <w:t xml:space="preserve"/>
      </w:r>
    </w:p>
    <w:p>
      <w:pPr>
        <w:spacing w:after="120"/>
      </w:pPr>
      <w:r>
        <w:rPr>
          <w:rFonts w:ascii="Arial" w:cs="Arial" w:eastAsia="Arial" w:hAnsi="Arial"/>
          <w:i w:val="false"/>
          <w:iCs w:val="false"/>
          <w:color w:val="333333"/>
          <w:sz w:val="22"/>
          <w:szCs w:val="22"/>
        </w:rPr>
        <w:t xml:space="preserve">This unit should be integrated into the existing course sequence rather than added as supplemental content, replacing the current unstructured ramp-up period at the start of the project phase.</w:t>
      </w:r>
    </w:p>
    <w:p>
      <w:pPr>
        <w:spacing w:after="160"/>
      </w:pPr>
      <w:r>
        <w:t xml:space="preserve"/>
      </w:r>
    </w:p>
    <w:p>
      <w:pPr>
        <w:pStyle w:val="Heading2"/>
      </w:pPr>
      <w:r>
        <w:rPr>
          <w:rFonts w:ascii="Arial" w:cs="Arial" w:eastAsia="Arial" w:hAnsi="Arial"/>
          <w:b/>
          <w:bCs/>
          <w:color w:val="2E75B6"/>
          <w:sz w:val="24"/>
          <w:szCs w:val="24"/>
        </w:rPr>
        <w:t xml:space="preserve">7.2  Rationale</w:t>
      </w:r>
    </w:p>
    <w:p>
      <w:pPr>
        <w:spacing w:after="120"/>
      </w:pPr>
      <w:r>
        <w:rPr>
          <w:rFonts w:ascii="Arial" w:cs="Arial" w:eastAsia="Arial" w:hAnsi="Arial"/>
          <w:i w:val="false"/>
          <w:iCs w:val="false"/>
          <w:color w:val="333333"/>
          <w:sz w:val="22"/>
          <w:szCs w:val="22"/>
        </w:rPr>
        <w:t xml:space="preserve">The IA1 data and pattern of over-scoped final projects point clearly to a knowledge gap, not a motivation or engagement problem — students want to build games. What they lack is a mental model for how professional game production is structured and how scope functions as a design tool rather than a limitation.</w:t>
      </w:r>
    </w:p>
    <w:p>
      <w:pPr>
        <w:spacing w:after="80"/>
      </w:pPr>
      <w:r>
        <w:t xml:space="preserve"/>
      </w:r>
    </w:p>
    <w:p>
      <w:pPr>
        <w:spacing w:after="120"/>
      </w:pPr>
      <w:r>
        <w:rPr>
          <w:rFonts w:ascii="Arial" w:cs="Arial" w:eastAsia="Arial" w:hAnsi="Arial"/>
          <w:i w:val="false"/>
          <w:iCs w:val="false"/>
          <w:color w:val="333333"/>
          <w:sz w:val="22"/>
          <w:szCs w:val="22"/>
        </w:rPr>
        <w:t xml:space="preserve">A dedicated instructional unit addresses this directly by giving students both the conceptual framework and the practical tools (GDD templates, milestone check-ins, feature prioritization) before they enter the open-ended production phase. The scenario-based approach is particularly well-suited to this audience: it grounds abstract production concepts in realistic decision-making situations that students will encounter in their own projects, making the learning immediately applicable. The fully virtual delivery environment at GCA is well-supported by scenario-based, LMS-hosted content that students can revisit as a reference throughout their project work.</w:t>
      </w:r>
    </w:p>
    <w:p>
      <w:pPr>
        <w:spacing w:after="160"/>
      </w:pPr>
      <w:r>
        <w:t xml:space="preserve"/>
      </w:r>
    </w:p>
    <w:p>
      <w:pPr>
        <w:pStyle w:val="Heading2"/>
      </w:pPr>
      <w:r>
        <w:rPr>
          <w:rFonts w:ascii="Arial" w:cs="Arial" w:eastAsia="Arial" w:hAnsi="Arial"/>
          <w:b/>
          <w:bCs/>
          <w:color w:val="2E75B6"/>
          <w:sz w:val="24"/>
          <w:szCs w:val="24"/>
        </w:rPr>
        <w:t xml:space="preserve">7.3  Implementation Considerations</w:t>
      </w:r>
    </w:p>
    <w:p>
      <w:pPr>
        <w:pStyle w:val="ListParagraph"/>
        <w:numPr>
          <w:ilvl w:val="0"/>
          <w:numId w:val="2"/>
        </w:numPr>
        <w:spacing w:after="80"/>
      </w:pPr>
      <w:r>
        <w:rPr>
          <w:rFonts w:ascii="Arial" w:cs="Arial" w:eastAsia="Arial" w:hAnsi="Arial"/>
          <w:color w:val="333333"/>
          <w:sz w:val="22"/>
          <w:szCs w:val="22"/>
        </w:rPr>
        <w:t xml:space="preserve">Timeline: Unit to be piloted with all current sections in the present semester; revised based on IA2 and Level 1 survey data; full refined rollout at start of next academic year.</w:t>
      </w:r>
    </w:p>
    <w:p>
      <w:pPr>
        <w:pStyle w:val="ListParagraph"/>
        <w:numPr>
          <w:ilvl w:val="0"/>
          <w:numId w:val="2"/>
        </w:numPr>
        <w:spacing w:after="80"/>
      </w:pPr>
      <w:r>
        <w:rPr>
          <w:rFonts w:ascii="Arial" w:cs="Arial" w:eastAsia="Arial" w:hAnsi="Arial"/>
          <w:color w:val="333333"/>
          <w:sz w:val="22"/>
          <w:szCs w:val="22"/>
        </w:rPr>
        <w:t xml:space="preserve">Resources needed: Instructor time to develop GDD and milestone templates; scenario-based activity built as a self-contained HTML module (no additional tool license required); LMS integration for survey and assessment delivery.</w:t>
      </w:r>
    </w:p>
    <w:p>
      <w:pPr>
        <w:pStyle w:val="ListParagraph"/>
        <w:numPr>
          <w:ilvl w:val="0"/>
          <w:numId w:val="2"/>
        </w:numPr>
        <w:spacing w:after="80"/>
      </w:pPr>
      <w:r>
        <w:rPr>
          <w:rFonts w:ascii="Arial" w:cs="Arial" w:eastAsia="Arial" w:hAnsi="Arial"/>
          <w:color w:val="333333"/>
          <w:sz w:val="22"/>
          <w:szCs w:val="22"/>
        </w:rPr>
        <w:t xml:space="preserve">Risks and constraints: Virtual delivery limits ability to do real-time collaborative design activities; mitigated by asynchronous-compatible formats and recorded session availability. Student technology variability may affect scenario module performance; module will be built for low-bandwidth compatibility.</w:t>
      </w:r>
    </w:p>
    <w:p>
      <w:pPr>
        <w:pStyle w:val="ListParagraph"/>
        <w:numPr>
          <w:ilvl w:val="0"/>
          <w:numId w:val="2"/>
        </w:numPr>
        <w:spacing w:after="80"/>
      </w:pPr>
      <w:r>
        <w:rPr>
          <w:rFonts w:ascii="Arial" w:cs="Arial" w:eastAsia="Arial" w:hAnsi="Arial"/>
          <w:color w:val="333333"/>
          <w:sz w:val="22"/>
          <w:szCs w:val="22"/>
        </w:rPr>
        <w:t xml:space="preserve">Stakeholder communication: Share IA1 findings and unit proposal with Assistant Principal prior to implementation; provide brief summary of pilot results at end-of-semester data review.</w:t>
      </w:r>
    </w:p>
    <w:p>
      <w:pPr>
        <w:spacing w:after="160"/>
      </w:pPr>
      <w:r>
        <w:t xml:space="preserve"/>
      </w:r>
    </w:p>
    <w:p>
      <w:pPr>
        <w:pStyle w:val="Heading2"/>
      </w:pPr>
      <w:r>
        <w:rPr>
          <w:rFonts w:ascii="Arial" w:cs="Arial" w:eastAsia="Arial" w:hAnsi="Arial"/>
          <w:b/>
          <w:bCs/>
          <w:color w:val="2E75B6"/>
          <w:sz w:val="24"/>
          <w:szCs w:val="24"/>
        </w:rPr>
        <w:t xml:space="preserve">7.4  Success Criteria Summary</w:t>
      </w:r>
    </w:p>
    <w:p>
      <w:pPr>
        <w:spacing w:after="120"/>
      </w:pPr>
      <w:r>
        <w:rPr>
          <w:rFonts w:ascii="Arial" w:cs="Arial" w:eastAsia="Arial" w:hAnsi="Arial"/>
          <w:i w:val="false"/>
          <w:iCs w:val="false"/>
          <w:color w:val="333333"/>
          <w:sz w:val="22"/>
          <w:szCs w:val="22"/>
        </w:rPr>
        <w:t xml:space="preserve">This initiative will be considered successful when at least 80% of students enter the Unity development phase with a completed, rubric-passing GDD, and when end-of-semester final project completion rates increase by at least 10 percentage points relative to the prior cohort. At the evaluation level, success also requires that scope-related items on IA2 show a minimum 20-point improvement over the IA1 baseline — demonstrating that the unit produced measurable learning gains, not just procedural compliance.</w:t>
      </w:r>
    </w:p>
    <w:p>
      <w:pPr>
        <w:spacing w:after="280"/>
      </w:pPr>
      <w:r>
        <w:t xml:space="preserve"/>
      </w:r>
    </w:p>
    <w:p>
      <w:pPr>
        <w:pBdr>
          <w:bottom w:val="single" w:color="2E75B6" w:sz="4" w:space="1"/>
        </w:pBdr>
        <w:spacing w:before="80" w:after="200"/>
      </w:pPr>
      <w:r>
        <w:t xml:space="preserve"/>
      </w:r>
    </w:p>
    <w:p>
      <w:pPr>
        <w:spacing w:before="120"/>
        <w:jc w:val="center"/>
      </w:pPr>
      <w:r>
        <w:rPr>
          <w:rFonts w:ascii="Arial" w:cs="Arial" w:eastAsia="Arial" w:hAnsi="Arial"/>
          <w:i/>
          <w:iCs/>
          <w:color w:val="7F7F7F"/>
          <w:sz w:val="18"/>
          <w:szCs w:val="18"/>
        </w:rPr>
        <w:t xml:space="preserve">End of Document  ·  Georgia Cyber Academy  ·  Game Design: Animation &amp; Simulation  ·  March 2026</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rFonts w:ascii="Arial" w:cs="Arial" w:eastAsia="Arial" w:hAnsi="Arial"/>
        <w:i/>
        <w:iCs/>
        <w:color w:val="7F7F7F"/>
        <w:sz w:val="18"/>
        <w:szCs w:val="18"/>
      </w:rPr>
      <w:t xml:space="preserve">Instructional Design Portfolio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spacing w:after="0"/>
    </w:pPr>
    <w:r>
      <w:rPr>
        <w:rFonts w:ascii="Arial" w:cs="Arial" w:eastAsia="Arial" w:hAnsi="Arial"/>
        <w:b/>
        <w:bCs/>
        <w:color w:val="1B3A5C"/>
        <w:sz w:val="18"/>
        <w:szCs w:val="18"/>
      </w:rPr>
      <w:t xml:space="preserve">Needs Analysis &amp; Evaluation Plan</w:t>
    </w:r>
    <w:r>
      <w:rPr>
        <w:rFonts w:ascii="Arial" w:cs="Arial" w:eastAsia="Arial" w:hAnsi="Arial"/>
      </w:rPr>
      <w:t xml:space="preserve">	</w:t>
    </w:r>
    <w:r>
      <w:rPr>
        <w:rFonts w:ascii="Arial" w:cs="Arial" w:eastAsia="Arial" w:hAnsi="Arial"/>
        <w:i/>
        <w:iCs/>
        <w:color w:val="7F7F7F"/>
        <w:sz w:val="18"/>
        <w:szCs w:val="18"/>
      </w:rPr>
      <w:t xml:space="preserve">Kira Shinn  ·  Georgia Cyber Academy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B3A5C"/>
      <w:sz w:val="28"/>
      <w:szCs w:val="28"/>
    </w:rPr>
  </w:style>
  <w:style w:type="paragraph" w:styleId="Heading2">
    <w:name w:val="Heading 2"/>
    <w:basedOn w:val="Normal"/>
    <w:next w:val="Normal"/>
    <w:qFormat/>
    <w:pPr>
      <w:spacing w:before="260" w:after="12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2026-03-16T00:03:45.345Z</dcterms:created>
  <dcterms:modified xsi:type="dcterms:W3CDTF">2026-03-16T00:03:45.346Z</dcterms:modified>
</cp:coreProperties>
</file>

<file path=docProps/custom.xml><?xml version="1.0" encoding="utf-8"?>
<Properties xmlns="http://schemas.openxmlformats.org/officeDocument/2006/custom-properties" xmlns:vt="http://schemas.openxmlformats.org/officeDocument/2006/docPropsVTypes"/>
</file>